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33" w:rsidRDefault="003016C4" w:rsidP="008B7733">
      <w:pPr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БУДІВНИЦТВО, РЕМОНТ І РЕСТАВРАЦІЯ – МАСШТАБ, РОЗВИТОК </w:t>
      </w:r>
      <w:r w:rsidR="008B1AED" w:rsidRPr="00627D42"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  <w:t>ТА </w:t>
      </w:r>
      <w:r w:rsidRPr="00627D4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ТЕНДЕНЦІЇ ПОПИТУ НА ЛАКОФАРБОВУ ПРОДУКЦІ</w:t>
      </w:r>
      <w:proofErr w:type="gramStart"/>
      <w:r w:rsidRPr="00627D4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Ю</w:t>
      </w:r>
      <w:proofErr w:type="gramEnd"/>
      <w:r w:rsidR="008B7733" w:rsidRPr="008B7733"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  <w:t xml:space="preserve"> </w:t>
      </w:r>
    </w:p>
    <w:p w:rsidR="008B7733" w:rsidRPr="00627D42" w:rsidRDefault="008B7733" w:rsidP="008B7733">
      <w:pPr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  <w:t>Президент Всеукраїнської спілки виробників будматеріалів Салі</w:t>
      </w: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  <w:t>й</w:t>
      </w:r>
      <w:r w:rsidRPr="00627D42"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  <w:t xml:space="preserve"> Іван Миколайович</w:t>
      </w:r>
    </w:p>
    <w:p w:rsidR="005C72E4" w:rsidRPr="00627D42" w:rsidRDefault="005C72E4">
      <w:pPr>
        <w:rPr>
          <w:rFonts w:ascii="Arial" w:hAnsi="Arial" w:cs="Arial"/>
          <w:b/>
          <w:color w:val="222222"/>
          <w:sz w:val="20"/>
          <w:szCs w:val="20"/>
          <w:shd w:val="clear" w:color="auto" w:fill="FFFFFF"/>
          <w:lang w:val="uk-UA"/>
        </w:rPr>
      </w:pPr>
    </w:p>
    <w:p w:rsidR="003016C4" w:rsidRPr="00627D42" w:rsidRDefault="003016C4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Україна мало будує, що житла, що інфраструктури.</w:t>
      </w:r>
    </w:p>
    <w:p w:rsidR="003016C4" w:rsidRPr="00627D42" w:rsidRDefault="003016C4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Тобто ринок нерухомості зростає, але повільно. Потрібен будівельний бум: 30-40% зростання років з двадцять підряд.</w:t>
      </w:r>
    </w:p>
    <w:p w:rsidR="003016C4" w:rsidRPr="00627D42" w:rsidRDefault="003016C4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Поки</w:t>
      </w:r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що</w:t>
      </w:r>
      <w:r w:rsidR="009D573B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:</w:t>
      </w:r>
    </w:p>
    <w:p w:rsidR="003016C4" w:rsidRPr="00627D42" w:rsidRDefault="00765715" w:rsidP="00765715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88926" cy="3066695"/>
            <wp:effectExtent l="19050" t="0" r="6824" b="0"/>
            <wp:docPr id="8" name="Рисунок 8" descr="D:\Статистика 2018\Салій І.М. презентація 22.01.2019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тистика 2018\Салій І.М. презентація 22.01.2019\Слайд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15" cy="307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4" w:rsidRPr="00627D42" w:rsidRDefault="003016C4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На які показники держава сподівається у 2019 році – суспільств</w:t>
      </w:r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о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і на</w:t>
      </w:r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с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не інформують, окрім будівництва доріг.</w:t>
      </w:r>
    </w:p>
    <w:p w:rsidR="003016C4" w:rsidRPr="00627D42" w:rsidRDefault="008B1AED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Також</w:t>
      </w:r>
      <w:r w:rsidR="003016C4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на ринок лакофарбової продукції впливає розвиток інших будівельних матеріалів. </w:t>
      </w:r>
    </w:p>
    <w:p w:rsidR="003016C4" w:rsidRPr="00627D42" w:rsidRDefault="00BF18AD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1. Керамічна плитка –</w:t>
      </w:r>
      <w:r w:rsidR="003016C4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і на фасади, і на цоколі, і на внутрішнє оздоблення.</w:t>
      </w:r>
    </w:p>
    <w:p w:rsidR="00BF18AD" w:rsidRPr="00627D42" w:rsidRDefault="00BF18AD" w:rsidP="00BF18AD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679429" cy="1965278"/>
            <wp:effectExtent l="19050" t="0" r="25921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F18AD" w:rsidRPr="00627D42" w:rsidRDefault="00BF18AD" w:rsidP="00BF18AD">
      <w:pPr>
        <w:jc w:val="center"/>
        <w:rPr>
          <w:rFonts w:ascii="Arial" w:hAnsi="Arial" w:cs="Arial"/>
          <w:i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i/>
          <w:color w:val="222222"/>
          <w:sz w:val="20"/>
          <w:szCs w:val="20"/>
          <w:shd w:val="clear" w:color="auto" w:fill="FFFFFF"/>
          <w:lang w:val="uk-UA"/>
        </w:rPr>
        <w:t xml:space="preserve">Виробництво плитки та плит керамічних, </w:t>
      </w:r>
      <w:proofErr w:type="spellStart"/>
      <w:r w:rsidRPr="00627D42">
        <w:rPr>
          <w:rFonts w:ascii="Arial" w:hAnsi="Arial" w:cs="Arial"/>
          <w:i/>
          <w:color w:val="222222"/>
          <w:sz w:val="20"/>
          <w:szCs w:val="20"/>
          <w:shd w:val="clear" w:color="auto" w:fill="FFFFFF"/>
          <w:lang w:val="uk-UA"/>
        </w:rPr>
        <w:t>тис.кв.м</w:t>
      </w:r>
      <w:proofErr w:type="spellEnd"/>
    </w:p>
    <w:p w:rsidR="008B1AED" w:rsidRPr="00627D42" w:rsidRDefault="003016C4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lastRenderedPageBreak/>
        <w:t xml:space="preserve">2. </w:t>
      </w:r>
      <w:r w:rsidR="008B1AE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Ф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асади</w:t>
      </w:r>
      <w:r w:rsidR="008B1AE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з утепленням базальтовою ватою або пінопластом:</w:t>
      </w:r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</w:p>
    <w:p w:rsidR="008B1AED" w:rsidRPr="00627D42" w:rsidRDefault="008B1AED" w:rsidP="008B1AED">
      <w:pPr>
        <w:pStyle w:val="a5"/>
        <w:numPr>
          <w:ilvl w:val="0"/>
          <w:numId w:val="1"/>
        </w:num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Навісний – </w:t>
      </w:r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забарвлений/</w:t>
      </w:r>
      <w:proofErr w:type="spellStart"/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колорований</w:t>
      </w:r>
      <w:proofErr w:type="spellEnd"/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назавжди бетон. </w:t>
      </w:r>
    </w:p>
    <w:p w:rsidR="00D54162" w:rsidRPr="00627D42" w:rsidRDefault="008B1AED" w:rsidP="008B1AED">
      <w:pPr>
        <w:pStyle w:val="a5"/>
        <w:numPr>
          <w:ilvl w:val="0"/>
          <w:numId w:val="1"/>
        </w:num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С</w:t>
      </w:r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кріплений фасад – то система із фарбувальним шаром.</w:t>
      </w:r>
    </w:p>
    <w:p w:rsidR="0069424A" w:rsidRPr="00627D42" w:rsidRDefault="0069424A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44371" cy="1831330"/>
            <wp:effectExtent l="19050" t="0" r="0" b="0"/>
            <wp:docPr id="1" name="Рисунок 1" descr="SCAN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RO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08" cy="18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 </w:t>
      </w:r>
      <w:r w:rsidRPr="00627D42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901571" cy="1817542"/>
            <wp:effectExtent l="19050" t="0" r="0" b="0"/>
            <wp:docPr id="2" name="Рисунок 4" descr="http://dbk4.com.ua/upload/resize_cache/iblock/173/1140_540_1/17374112553c35cfd40484e3cba91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bk4.com.ua/upload/resize_cache/iblock/173/1140_540_1/17374112553c35cfd40484e3cba914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17" r="5598" b="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2" cy="182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62" w:rsidRPr="00627D42" w:rsidRDefault="00D54162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3. Пластикові вікна, двері і підвіконня – уже фарбувати, як дерев’яні, не потрібно.</w:t>
      </w:r>
    </w:p>
    <w:p w:rsidR="00D54162" w:rsidRPr="00627D42" w:rsidRDefault="00D54162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І такі тенденції наростають.</w:t>
      </w:r>
    </w:p>
    <w:p w:rsidR="00DB4F59" w:rsidRPr="00627D42" w:rsidRDefault="0036431C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4. </w:t>
      </w:r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Лакофарбова продукція відповідно до вимог ринку теж розвивається і удосконалю</w:t>
      </w:r>
      <w:r w:rsidR="008B1AE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є</w:t>
      </w:r>
      <w:r w:rsidR="00D54162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ться.</w:t>
      </w:r>
      <w:r w:rsidR="00765715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r w:rsidR="00DB4F59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Ринок фарб і лаків буде зростати</w:t>
      </w:r>
      <w:r w:rsidR="008B1AE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за рахунок розширення асортименту та санітарно-екологічної досконалості</w:t>
      </w:r>
      <w:r w:rsidR="00DB4F59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</w:t>
      </w:r>
    </w:p>
    <w:p w:rsidR="00DB4F59" w:rsidRPr="00627D42" w:rsidRDefault="00765715" w:rsidP="00765715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11011" cy="3008258"/>
            <wp:effectExtent l="19050" t="0" r="8539" b="0"/>
            <wp:docPr id="9" name="Рисунок 9" descr="D:\Статистика 2018\Салій І.М. презентація 22.01.2019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тистика 2018\Салій І.М. презентація 22.01.2019\Слайд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45" cy="300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15" w:rsidRPr="00627D42" w:rsidRDefault="00765715" w:rsidP="00765715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011966" cy="3009600"/>
            <wp:effectExtent l="19050" t="0" r="7584" b="0"/>
            <wp:docPr id="10" name="Рисунок 10" descr="D:\Статистика 2018\Салій І.М. презентація 22.01.2019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тистика 2018\Салій І.М. презентація 22.01.2019\Слайд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66" cy="30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59" w:rsidRPr="00627D42" w:rsidRDefault="00DB4F59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Активність житлового будівництва повинна переміщуватись на Схід і Південь, а на сьогодні концентрується 60% у м. Києві, Київській, Одеській, Львівській та Івано-Франківській областях.</w:t>
      </w:r>
    </w:p>
    <w:p w:rsidR="00DB4F59" w:rsidRPr="00627D42" w:rsidRDefault="00DB4F59" w:rsidP="008B1AED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Вкрай обмежена частка капітальних ремонтів та реставрацій. А «</w:t>
      </w:r>
      <w:proofErr w:type="spellStart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хрущовки</w:t>
      </w:r>
      <w:proofErr w:type="spellEnd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» в Європі усі реконструювали або знесли. В Україні – </w:t>
      </w:r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ще 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не розпочинали. 95% житла в Україні будувалося «на </w:t>
      </w:r>
      <w:proofErr w:type="spellStart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глазок</w:t>
      </w:r>
      <w:proofErr w:type="spellEnd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» 2-2,5 цеглини – товщина стін – і це </w:t>
      </w:r>
      <w:r w:rsidR="008B1AE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коли 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термоопір за нормативом 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був лише 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0,8-0,9</w:t>
      </w:r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кв.м•К</w:t>
      </w:r>
      <w:proofErr w:type="spellEnd"/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/Вт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, а тепер норматив 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– 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3,2-3,3</w:t>
      </w:r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кв.м•К</w:t>
      </w:r>
      <w:proofErr w:type="spellEnd"/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/Вт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</w:t>
      </w:r>
    </w:p>
    <w:p w:rsidR="00DB4F59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5</w:t>
      </w:r>
      <w:r w:rsidR="00DB4F59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 Соціальна та транспортна інфраструктура.</w:t>
      </w:r>
    </w:p>
    <w:p w:rsidR="00DB4F59" w:rsidRPr="00627D42" w:rsidRDefault="00DB4F59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Темпи будівництва і реконструкції будуть наростати. А тут наголос уже за місцевими бюджетами і територіальними громадами.</w:t>
      </w:r>
    </w:p>
    <w:p w:rsidR="00DB4F59" w:rsidRPr="00627D42" w:rsidRDefault="00DB4F59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Наприклад, в Україні щільність дорожн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ь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ого покриття в межах 28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5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м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на 1 </w:t>
      </w:r>
      <w:proofErr w:type="spellStart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кв.км</w:t>
      </w:r>
      <w:proofErr w:type="spellEnd"/>
      <w:r w:rsidR="00BF18AD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,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при середньоєвропейській щільності – 18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00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-20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00 м на 1 </w:t>
      </w:r>
      <w:proofErr w:type="spellStart"/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кв.км</w:t>
      </w:r>
      <w:proofErr w:type="spellEnd"/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</w:t>
      </w:r>
    </w:p>
    <w:p w:rsidR="006D7B43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6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 Будівництво заводів, логістичних центрів, виробів заводських.</w:t>
      </w:r>
    </w:p>
    <w:p w:rsidR="0036431C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Нова індустріалізація України – </w:t>
      </w:r>
      <w:proofErr w:type="spellStart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невідворотня</w:t>
      </w:r>
      <w:proofErr w:type="spellEnd"/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</w:t>
      </w:r>
    </w:p>
    <w:p w:rsidR="006D7B43" w:rsidRPr="00627D42" w:rsidRDefault="006D7B43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Тут металоконструкції поступово витісняє збірний залізобетон – аж до унікальної балки довжиною 30 м та вагою 47 т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(ПБГ «Ковальська»)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</w:t>
      </w:r>
    </w:p>
    <w:p w:rsidR="006C420B" w:rsidRPr="00627D42" w:rsidRDefault="006C420B" w:rsidP="006C420B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38735" cy="1895361"/>
            <wp:effectExtent l="19050" t="0" r="0" b="0"/>
            <wp:docPr id="5" name="Рисунок 5" descr="C:\Users\Natalka\Downloads\IMG-17a4ba718f976acb832cb6c02930c44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Natalka\Downloads\IMG-17a4ba718f976acb832cb6c02930c44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31" cy="189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r w:rsidRPr="00627D42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28616" cy="1897039"/>
            <wp:effectExtent l="19050" t="0" r="284" b="0"/>
            <wp:docPr id="6" name="Рисунок 6" descr="C:\Users\Natalka\Downloads\IMG_6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Natalka\Downloads\IMG_6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33" cy="189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D42" w:rsidRDefault="00627D42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</w:p>
    <w:p w:rsidR="006D7B43" w:rsidRPr="00627D42" w:rsidRDefault="00627D42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648335</wp:posOffset>
            </wp:positionV>
            <wp:extent cx="3453765" cy="2306320"/>
            <wp:effectExtent l="19050" t="0" r="0" b="0"/>
            <wp:wrapTopAndBottom/>
            <wp:docPr id="3" name="Рисунок 1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Та виявляється і залізобетон не вічний: і його бажано одразу захи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щати, покривати захисним 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шаром 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від солі та вологи. Наприклад, на автомагістралях блоки «</w:t>
      </w:r>
      <w:proofErr w:type="spellStart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Нью-Джерсі</w:t>
      </w:r>
      <w:proofErr w:type="spellEnd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», мостові </w:t>
      </w:r>
      <w:proofErr w:type="spellStart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розв</w:t>
      </w:r>
      <w:proofErr w:type="spellEnd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</w:rPr>
        <w:t>’</w:t>
      </w:r>
      <w:proofErr w:type="spellStart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язки</w:t>
      </w:r>
      <w:proofErr w:type="spellEnd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та переходи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.</w:t>
      </w:r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Такі дослідження </w:t>
      </w:r>
      <w:proofErr w:type="spellStart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репрофіляції</w:t>
      </w:r>
      <w:proofErr w:type="spellEnd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проводив в Києві «</w:t>
      </w:r>
      <w:proofErr w:type="spellStart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Капарол</w:t>
      </w:r>
      <w:proofErr w:type="spellEnd"/>
      <w:r w:rsidR="0036431C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».</w:t>
      </w:r>
      <w:r w:rsidR="00E6575B" w:rsidRPr="00627D42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36431C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Тобто, ринок ЛКМ </w:t>
      </w:r>
      <w:r w:rsidR="00FD42E8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для промисловості 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теж буде зростати.</w:t>
      </w:r>
    </w:p>
    <w:p w:rsidR="006D7B43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7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. </w:t>
      </w: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П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окрівля: шифер замі</w:t>
      </w:r>
      <w:r w:rsidR="00CD16C5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нити на </w:t>
      </w:r>
      <w:proofErr w:type="spellStart"/>
      <w:r w:rsidR="00CD16C5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метало</w:t>
      </w:r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черепицю</w:t>
      </w:r>
      <w:proofErr w:type="spellEnd"/>
      <w:r w:rsidR="006D7B43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, як і паркани: замість мурів з бетону і цегли – на металеві.</w:t>
      </w:r>
    </w:p>
    <w:p w:rsidR="0036431C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8. Підлогові покриття.</w:t>
      </w:r>
    </w:p>
    <w:p w:rsidR="0036431C" w:rsidRPr="00627D42" w:rsidRDefault="0036431C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</w:p>
    <w:p w:rsidR="006D7B43" w:rsidRPr="00627D42" w:rsidRDefault="006D7B43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Словом, ринок є, ринок фарб і лаків буде наростати.</w:t>
      </w:r>
      <w:r w:rsidR="00E6575B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Україна повинна споживати не 6-7 кг фарб на одного мешканця, а вдвічі-тричі більше.</w:t>
      </w:r>
    </w:p>
    <w:p w:rsidR="006D7B43" w:rsidRPr="00627D42" w:rsidRDefault="006D7B43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  <w:r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Але тепер замало </w:t>
      </w:r>
      <w:r w:rsidR="00B13A6A" w:rsidRPr="00627D42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>пропонувати фарби, тепер потрібно стимулювати, сприяти розвитку будівельних проектів та програм.</w:t>
      </w:r>
    </w:p>
    <w:p w:rsidR="00E6575B" w:rsidRPr="00627D42" w:rsidRDefault="00E6575B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</w:pPr>
    </w:p>
    <w:p w:rsidR="003016C4" w:rsidRPr="00627D42" w:rsidRDefault="003016C4">
      <w:pPr>
        <w:rPr>
          <w:rFonts w:ascii="Arial" w:hAnsi="Arial" w:cs="Arial"/>
          <w:sz w:val="20"/>
          <w:szCs w:val="20"/>
          <w:lang w:val="uk-UA"/>
        </w:rPr>
      </w:pPr>
    </w:p>
    <w:sectPr w:rsidR="003016C4" w:rsidRPr="00627D42" w:rsidSect="00627D4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27531"/>
    <w:multiLevelType w:val="hybridMultilevel"/>
    <w:tmpl w:val="38DE05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016C4"/>
    <w:rsid w:val="003016C4"/>
    <w:rsid w:val="0036431C"/>
    <w:rsid w:val="00554191"/>
    <w:rsid w:val="005C72E4"/>
    <w:rsid w:val="00627D42"/>
    <w:rsid w:val="0069424A"/>
    <w:rsid w:val="006C420B"/>
    <w:rsid w:val="006D7B43"/>
    <w:rsid w:val="006F6307"/>
    <w:rsid w:val="00765715"/>
    <w:rsid w:val="008B1AED"/>
    <w:rsid w:val="008B7733"/>
    <w:rsid w:val="009A7763"/>
    <w:rsid w:val="009D573B"/>
    <w:rsid w:val="00B13A6A"/>
    <w:rsid w:val="00BF18AD"/>
    <w:rsid w:val="00C03E00"/>
    <w:rsid w:val="00CD16C5"/>
    <w:rsid w:val="00D54162"/>
    <w:rsid w:val="00DB4F59"/>
    <w:rsid w:val="00E6575B"/>
    <w:rsid w:val="00FD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1A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90;&#1072;&#1090;&#1080;&#1089;&#1090;&#1080;&#1082;&#1072;%202018\&#1055;&#1088;&#1077;&#1079;&#1077;&#1085;&#1090;&#1072;&#1094;&#1110;&#1103;%20%20&#1042;&#1080;&#1088;&#1086;&#1073;&#1085;&#1080;&#1094;&#1090;&#1074;&#1086;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plotArea>
      <c:layout>
        <c:manualLayout>
          <c:layoutTarget val="inner"/>
          <c:xMode val="edge"/>
          <c:yMode val="edge"/>
          <c:x val="2.8928336620644337E-2"/>
          <c:y val="6.4814814814816046E-2"/>
          <c:w val="0.9705062066888217"/>
          <c:h val="0.83309419655877393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00244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dLbls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Val val="1"/>
          </c:dLbls>
          <c:cat>
            <c:numRef>
              <c:f>плитка!$B$23:$M$23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плитка!$B$24:$M$24</c:f>
              <c:numCache>
                <c:formatCode>#,##0</c:formatCode>
                <c:ptCount val="12"/>
                <c:pt idx="0">
                  <c:v>27062.5</c:v>
                </c:pt>
                <c:pt idx="1">
                  <c:v>38873.5</c:v>
                </c:pt>
                <c:pt idx="2">
                  <c:v>44263.6</c:v>
                </c:pt>
                <c:pt idx="3">
                  <c:v>51563</c:v>
                </c:pt>
                <c:pt idx="4">
                  <c:v>60428.200000000004</c:v>
                </c:pt>
                <c:pt idx="5">
                  <c:v>62187.9</c:v>
                </c:pt>
                <c:pt idx="6">
                  <c:v>58716.799999999996</c:v>
                </c:pt>
                <c:pt idx="7">
                  <c:v>50682.7</c:v>
                </c:pt>
                <c:pt idx="8">
                  <c:v>44871.3</c:v>
                </c:pt>
                <c:pt idx="9">
                  <c:v>45350.400000000001</c:v>
                </c:pt>
                <c:pt idx="10">
                  <c:v>52318.700000000004</c:v>
                </c:pt>
                <c:pt idx="11">
                  <c:v>53806.9</c:v>
                </c:pt>
              </c:numCache>
            </c:numRef>
          </c:val>
        </c:ser>
        <c:gapWidth val="100"/>
        <c:axId val="162157312"/>
        <c:axId val="162158848"/>
      </c:barChart>
      <c:lineChart>
        <c:grouping val="standard"/>
        <c:ser>
          <c:idx val="1"/>
          <c:order val="1"/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7.366945838904701E-2"/>
                  <c:y val="-5.3235216595311198E-2"/>
                </c:manualLayout>
              </c:layout>
              <c:tx>
                <c:rich>
                  <a:bodyPr/>
                  <a:lstStyle/>
                  <a:p>
                    <a:r>
                      <a:rPr lang="uk-UA" sz="650" b="1" i="1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/>
                      <a:t>44%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2"/>
              <c:layout>
                <c:manualLayout>
                  <c:x val="-7.2669336365612125E-2"/>
                  <c:y val="-6.1757166161733872E-2"/>
                </c:manualLayout>
              </c:layout>
              <c:tx>
                <c:rich>
                  <a:bodyPr/>
                  <a:lstStyle/>
                  <a:p>
                    <a:r>
                      <a:rPr lang="uk-UA" sz="650" b="1" i="1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/>
                      <a:t>14%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3"/>
              <c:layout>
                <c:manualLayout>
                  <c:x val="-6.6299755803539279E-2"/>
                  <c:y val="-5.3235216595311198E-2"/>
                </c:manualLayout>
              </c:layout>
              <c:tx>
                <c:rich>
                  <a:bodyPr/>
                  <a:lstStyle/>
                  <a:p>
                    <a:r>
                      <a:rPr lang="uk-UA" sz="650" b="1" i="1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/>
                      <a:t>16%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4"/>
              <c:layout>
                <c:manualLayout>
                  <c:x val="-7.0727646471396413E-2"/>
                  <c:y val="-4.2370595915692359E-2"/>
                </c:manualLayout>
              </c:layout>
              <c:tx>
                <c:rich>
                  <a:bodyPr/>
                  <a:lstStyle/>
                  <a:p>
                    <a:r>
                      <a:rPr lang="uk-UA" sz="650"/>
                      <a:t>+</a:t>
                    </a:r>
                    <a:r>
                      <a:rPr lang="uk-UA"/>
                      <a:t>17%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5"/>
              <c:layout>
                <c:manualLayout>
                  <c:x val="-5.93957984749049E-2"/>
                  <c:y val="-5.0637819756138382E-2"/>
                </c:manualLayout>
              </c:layout>
              <c:tx>
                <c:rich>
                  <a:bodyPr/>
                  <a:lstStyle/>
                  <a:p>
                    <a:r>
                      <a:rPr lang="uk-UA" sz="650" b="1" i="1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/>
                      <a:t>3%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6"/>
              <c:layout>
                <c:manualLayout>
                  <c:x val="-5.3957447817390522E-2"/>
                  <c:y val="-4.7882049563937372E-2"/>
                </c:manualLayout>
              </c:layout>
              <c:tx>
                <c:rich>
                  <a:bodyPr/>
                  <a:lstStyle/>
                  <a:p>
                    <a:pPr>
                      <a:defRPr sz="650" i="1">
                        <a:solidFill>
                          <a:srgbClr val="C00000"/>
                        </a:solidFill>
                      </a:defRPr>
                    </a:pPr>
                    <a:r>
                      <a:rPr lang="uk-UA" sz="650" i="1">
                        <a:solidFill>
                          <a:srgbClr val="C00000"/>
                        </a:solidFill>
                      </a:rPr>
                      <a:t>-</a:t>
                    </a:r>
                    <a:r>
                      <a:rPr lang="uk-UA">
                        <a:solidFill>
                          <a:srgbClr val="C00000"/>
                        </a:solidFill>
                      </a:rPr>
                      <a:t>6%</a:t>
                    </a:r>
                    <a:endParaRPr lang="en-US">
                      <a:solidFill>
                        <a:srgbClr val="C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dLblPos val="r"/>
              <c:showVal val="1"/>
            </c:dLbl>
            <c:dLbl>
              <c:idx val="7"/>
              <c:layout>
                <c:manualLayout>
                  <c:x val="-5.6909409750562696E-2"/>
                  <c:y val="-6.1122982863015332E-2"/>
                </c:manualLayout>
              </c:layout>
              <c:tx>
                <c:rich>
                  <a:bodyPr/>
                  <a:lstStyle/>
                  <a:p>
                    <a:pPr>
                      <a:defRPr sz="650" i="1">
                        <a:solidFill>
                          <a:srgbClr val="C00000"/>
                        </a:solidFill>
                      </a:defRPr>
                    </a:pPr>
                    <a:r>
                      <a:rPr lang="uk-UA" sz="650" i="1">
                        <a:solidFill>
                          <a:srgbClr val="C00000"/>
                        </a:solidFill>
                      </a:rPr>
                      <a:t>-</a:t>
                    </a:r>
                    <a:r>
                      <a:rPr lang="uk-UA">
                        <a:solidFill>
                          <a:srgbClr val="C00000"/>
                        </a:solidFill>
                      </a:rPr>
                      <a:t>14%</a:t>
                    </a:r>
                    <a:endParaRPr lang="en-US">
                      <a:solidFill>
                        <a:srgbClr val="C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dLblPos val="r"/>
              <c:showVal val="1"/>
            </c:dLbl>
            <c:dLbl>
              <c:idx val="8"/>
              <c:layout>
                <c:manualLayout>
                  <c:x val="-6.0327018531534514E-2"/>
                  <c:y val="-6.7426593082505412E-2"/>
                </c:manualLayout>
              </c:layout>
              <c:tx>
                <c:rich>
                  <a:bodyPr/>
                  <a:lstStyle/>
                  <a:p>
                    <a:pPr>
                      <a:defRPr sz="650" i="1">
                        <a:solidFill>
                          <a:srgbClr val="C00000"/>
                        </a:solidFill>
                      </a:defRPr>
                    </a:pPr>
                    <a:r>
                      <a:rPr lang="uk-UA" sz="650" i="1">
                        <a:solidFill>
                          <a:srgbClr val="C00000"/>
                        </a:solidFill>
                      </a:rPr>
                      <a:t>-</a:t>
                    </a:r>
                    <a:r>
                      <a:rPr lang="uk-UA">
                        <a:solidFill>
                          <a:srgbClr val="C00000"/>
                        </a:solidFill>
                      </a:rPr>
                      <a:t>11%</a:t>
                    </a:r>
                    <a:endParaRPr lang="en-US">
                      <a:solidFill>
                        <a:srgbClr val="C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dLblPos val="r"/>
              <c:showVal val="1"/>
            </c:dLbl>
            <c:dLbl>
              <c:idx val="9"/>
              <c:layout>
                <c:manualLayout>
                  <c:x val="-6.4289467796177696E-2"/>
                  <c:y val="-5.7892064125279016E-2"/>
                </c:manualLayout>
              </c:layout>
              <c:tx>
                <c:rich>
                  <a:bodyPr/>
                  <a:lstStyle/>
                  <a:p>
                    <a:r>
                      <a:rPr lang="uk-UA" sz="650" b="1" i="1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/>
                      <a:t>1%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10"/>
              <c:layout>
                <c:manualLayout>
                  <c:x val="-6.5349212478701998E-2"/>
                  <c:y val="-4.5711090237615298E-2"/>
                </c:manualLayout>
              </c:layout>
              <c:tx>
                <c:rich>
                  <a:bodyPr/>
                  <a:lstStyle/>
                  <a:p>
                    <a:r>
                      <a:rPr lang="uk-UA" sz="650" i="1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/>
                      <a:t>15%</a:t>
                    </a:r>
                    <a:endParaRPr lang="en-US"/>
                  </a:p>
                </c:rich>
              </c:tx>
              <c:dLblPos val="r"/>
              <c:showVal val="1"/>
            </c:dLbl>
            <c:dLbl>
              <c:idx val="11"/>
              <c:layout>
                <c:manualLayout>
                  <c:x val="-4.347691662313017E-2"/>
                  <c:y val="-5.6253110246998125E-2"/>
                </c:manualLayout>
              </c:layout>
              <c:tx>
                <c:rich>
                  <a:bodyPr/>
                  <a:lstStyle/>
                  <a:p>
                    <a:r>
                      <a:rPr lang="uk-UA" sz="650" i="1" dirty="0" smtClean="0">
                        <a:solidFill>
                          <a:srgbClr val="00B050"/>
                        </a:solidFill>
                      </a:rPr>
                      <a:t>+</a:t>
                    </a:r>
                    <a:r>
                      <a:rPr lang="uk-UA" sz="700" i="1" dirty="0" smtClean="0">
                        <a:solidFill>
                          <a:srgbClr val="00B050"/>
                        </a:solidFill>
                      </a:rPr>
                      <a:t>3</a:t>
                    </a:r>
                    <a:r>
                      <a:rPr lang="uk-UA" sz="700" dirty="0" smtClean="0">
                        <a:solidFill>
                          <a:srgbClr val="00B050"/>
                        </a:solidFill>
                      </a:rPr>
                      <a:t>%</a:t>
                    </a:r>
                    <a:endParaRPr lang="en-US" sz="700" dirty="0">
                      <a:solidFill>
                        <a:srgbClr val="00B050"/>
                      </a:solidFill>
                    </a:endParaRPr>
                  </a:p>
                </c:rich>
              </c:tx>
              <c:dLblPos val="r"/>
              <c:showVal val="1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650" i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плитка!$B$23:$M$23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плитка!$B$25:$M$25</c:f>
              <c:numCache>
                <c:formatCode>0</c:formatCode>
                <c:ptCount val="12"/>
                <c:pt idx="0">
                  <c:v>9020.8333333333285</c:v>
                </c:pt>
                <c:pt idx="1">
                  <c:v>12957.833333333328</c:v>
                </c:pt>
                <c:pt idx="2">
                  <c:v>14754.533333333333</c:v>
                </c:pt>
                <c:pt idx="3">
                  <c:v>17187.666666666657</c:v>
                </c:pt>
                <c:pt idx="4">
                  <c:v>20142.733333333323</c:v>
                </c:pt>
                <c:pt idx="5">
                  <c:v>20729.3</c:v>
                </c:pt>
                <c:pt idx="6">
                  <c:v>19572.266666666666</c:v>
                </c:pt>
                <c:pt idx="7">
                  <c:v>16894.233333333323</c:v>
                </c:pt>
                <c:pt idx="8">
                  <c:v>14957.1</c:v>
                </c:pt>
                <c:pt idx="9">
                  <c:v>15116.800000000001</c:v>
                </c:pt>
                <c:pt idx="10">
                  <c:v>17439.566666666666</c:v>
                </c:pt>
                <c:pt idx="11">
                  <c:v>17935.633333333313</c:v>
                </c:pt>
              </c:numCache>
            </c:numRef>
          </c:val>
        </c:ser>
        <c:marker val="1"/>
        <c:axId val="162157312"/>
        <c:axId val="162158848"/>
      </c:lineChart>
      <c:catAx>
        <c:axId val="1621573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62158848"/>
        <c:crosses val="autoZero"/>
        <c:auto val="1"/>
        <c:lblAlgn val="ctr"/>
        <c:lblOffset val="100"/>
      </c:catAx>
      <c:valAx>
        <c:axId val="162158848"/>
        <c:scaling>
          <c:orientation val="minMax"/>
        </c:scaling>
        <c:delete val="1"/>
        <c:axPos val="l"/>
        <c:numFmt formatCode="#,##0" sourceLinked="1"/>
        <c:tickLblPos val="none"/>
        <c:crossAx val="162157312"/>
        <c:crosses val="autoZero"/>
        <c:crossBetween val="between"/>
      </c:valAx>
      <c:spPr>
        <a:solidFill>
          <a:srgbClr val="FFFFFF">
            <a:alpha val="50196"/>
          </a:srgbClr>
        </a:solidFill>
        <a:ln w="25400">
          <a:noFill/>
        </a:ln>
      </c:spPr>
    </c:plotArea>
    <c:plotVisOnly val="1"/>
    <c:dispBlanksAs val="gap"/>
  </c:chart>
  <c:txPr>
    <a:bodyPr/>
    <a:lstStyle/>
    <a:p>
      <a:pPr>
        <a:defRPr>
          <a:solidFill>
            <a:srgbClr val="002447"/>
          </a:solidFill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</Company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2019-01-23T12:06:00Z</cp:lastPrinted>
  <dcterms:created xsi:type="dcterms:W3CDTF">2019-01-21T15:26:00Z</dcterms:created>
  <dcterms:modified xsi:type="dcterms:W3CDTF">2019-01-23T12:33:00Z</dcterms:modified>
</cp:coreProperties>
</file>